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24" w:rsidRDefault="004B2024" w:rsidP="00AB47D4">
      <w:pPr>
        <w:pStyle w:val="NoSpacing"/>
        <w:jc w:val="center"/>
        <w:rPr>
          <w:b/>
          <w:sz w:val="36"/>
          <w:szCs w:val="36"/>
          <w:u w:val="single"/>
        </w:rPr>
      </w:pPr>
    </w:p>
    <w:p w:rsidR="004B2024" w:rsidRPr="006D5300" w:rsidRDefault="004B2024" w:rsidP="00AB47D4">
      <w:pPr>
        <w:pStyle w:val="NoSpacing"/>
        <w:jc w:val="center"/>
        <w:rPr>
          <w:b/>
          <w:sz w:val="36"/>
          <w:szCs w:val="36"/>
          <w:u w:val="single"/>
        </w:rPr>
      </w:pPr>
      <w:r w:rsidRPr="006D5300">
        <w:rPr>
          <w:b/>
          <w:sz w:val="36"/>
          <w:szCs w:val="36"/>
          <w:u w:val="single"/>
        </w:rPr>
        <w:t>POLIC</w:t>
      </w:r>
      <w:r w:rsidR="00F8100B">
        <w:rPr>
          <w:b/>
          <w:sz w:val="36"/>
          <w:szCs w:val="36"/>
          <w:u w:val="single"/>
        </w:rPr>
        <w:t>I</w:t>
      </w:r>
      <w:r w:rsidRPr="006D5300">
        <w:rPr>
          <w:b/>
          <w:sz w:val="36"/>
          <w:szCs w:val="36"/>
          <w:u w:val="single"/>
        </w:rPr>
        <w:t>ES &amp; PROCEDURES</w:t>
      </w:r>
    </w:p>
    <w:p w:rsidR="004B2024" w:rsidRPr="006D5300" w:rsidRDefault="004B2024" w:rsidP="00AB47D4">
      <w:pPr>
        <w:pStyle w:val="NoSpacing"/>
        <w:jc w:val="center"/>
        <w:rPr>
          <w:b/>
          <w:sz w:val="36"/>
          <w:szCs w:val="36"/>
        </w:rPr>
      </w:pPr>
      <w:r w:rsidRPr="006D5300">
        <w:rPr>
          <w:b/>
          <w:sz w:val="36"/>
          <w:szCs w:val="36"/>
        </w:rPr>
        <w:t xml:space="preserve">Deliverable </w:t>
      </w:r>
      <w:r w:rsidR="00F8100B" w:rsidRPr="006D5300">
        <w:rPr>
          <w:b/>
          <w:sz w:val="36"/>
          <w:szCs w:val="36"/>
        </w:rPr>
        <w:t>Future</w:t>
      </w:r>
      <w:r w:rsidR="00F8100B">
        <w:rPr>
          <w:b/>
          <w:sz w:val="36"/>
          <w:szCs w:val="36"/>
        </w:rPr>
        <w:t>’</w:t>
      </w:r>
      <w:r w:rsidR="00F8100B" w:rsidRPr="006D5300">
        <w:rPr>
          <w:b/>
          <w:sz w:val="36"/>
          <w:szCs w:val="36"/>
        </w:rPr>
        <w:t>s</w:t>
      </w:r>
      <w:r w:rsidRPr="006D5300">
        <w:rPr>
          <w:b/>
          <w:sz w:val="36"/>
          <w:szCs w:val="36"/>
        </w:rPr>
        <w:t xml:space="preserve"> Contracts (DFC)</w:t>
      </w:r>
    </w:p>
    <w:p w:rsidR="004B2024" w:rsidRPr="006D5300" w:rsidRDefault="004B2024" w:rsidP="00AB47D4">
      <w:pPr>
        <w:pStyle w:val="NoSpacing"/>
        <w:jc w:val="center"/>
        <w:rPr>
          <w:b/>
          <w:sz w:val="36"/>
          <w:szCs w:val="36"/>
        </w:rPr>
      </w:pPr>
      <w:r w:rsidRPr="006D5300">
        <w:rPr>
          <w:b/>
          <w:sz w:val="36"/>
          <w:szCs w:val="36"/>
        </w:rPr>
        <w:t>AKD Trade</w:t>
      </w:r>
    </w:p>
    <w:p w:rsidR="004B2024" w:rsidRPr="00C822D9" w:rsidRDefault="004B2024" w:rsidP="00AB47D4">
      <w:pPr>
        <w:pStyle w:val="NoSpacing"/>
        <w:jc w:val="center"/>
        <w:rPr>
          <w:sz w:val="20"/>
          <w:szCs w:val="20"/>
        </w:rPr>
      </w:pPr>
    </w:p>
    <w:p w:rsidR="004B2024" w:rsidRDefault="004B2024" w:rsidP="00835483">
      <w:pPr>
        <w:pStyle w:val="NoSpacing"/>
        <w:jc w:val="both"/>
      </w:pPr>
      <w:r>
        <w:t xml:space="preserve">Trading in </w:t>
      </w:r>
      <w:r w:rsidRPr="00AB47D4">
        <w:t>Deliverable Future’s Contracts</w:t>
      </w:r>
      <w:r>
        <w:t xml:space="preserve"> at AKD Trade will be conducted as per the following Policies and Procedures:</w:t>
      </w:r>
    </w:p>
    <w:p w:rsidR="004B2024" w:rsidRDefault="004B2024" w:rsidP="00423180">
      <w:pPr>
        <w:pStyle w:val="NoSpacing"/>
      </w:pPr>
      <w:r>
        <w:tab/>
      </w:r>
    </w:p>
    <w:p w:rsidR="004B2024" w:rsidRDefault="004B2024" w:rsidP="00F36995">
      <w:pPr>
        <w:pStyle w:val="NoSpacing"/>
        <w:numPr>
          <w:ilvl w:val="0"/>
          <w:numId w:val="3"/>
        </w:numPr>
        <w:jc w:val="both"/>
      </w:pPr>
      <w:r>
        <w:t xml:space="preserve">A Future’s Trade Limit equals to four times of the equity for Buying and three times of the equity for Short (Blank) Selling will be assigned in </w:t>
      </w:r>
      <w:r w:rsidRPr="00AB47D4">
        <w:t xml:space="preserve">Deliverable Future’s </w:t>
      </w:r>
      <w:r>
        <w:t xml:space="preserve">Contract. </w:t>
      </w:r>
    </w:p>
    <w:p w:rsidR="004B2024" w:rsidRDefault="004B2024" w:rsidP="00F36995">
      <w:pPr>
        <w:pStyle w:val="NoSpacing"/>
        <w:ind w:left="720"/>
        <w:jc w:val="both"/>
      </w:pPr>
    </w:p>
    <w:p w:rsidR="004B2024" w:rsidRPr="00F36995" w:rsidRDefault="004B2024" w:rsidP="00F36995">
      <w:pPr>
        <w:pStyle w:val="NoSpacing"/>
        <w:ind w:left="720"/>
        <w:jc w:val="center"/>
        <w:rPr>
          <w:b/>
        </w:rPr>
      </w:pPr>
      <w:r w:rsidRPr="00F36995">
        <w:rPr>
          <w:b/>
        </w:rPr>
        <w:t>Buying in DFC = 4 X Equity; Short (Blank) Selling in DFC = 3 X Equity</w:t>
      </w:r>
    </w:p>
    <w:p w:rsidR="004B2024" w:rsidRDefault="004B2024" w:rsidP="00835483">
      <w:pPr>
        <w:pStyle w:val="NoSpacing"/>
        <w:ind w:left="720"/>
        <w:jc w:val="both"/>
      </w:pPr>
    </w:p>
    <w:p w:rsidR="004B2024" w:rsidRDefault="004B2024" w:rsidP="00835483">
      <w:pPr>
        <w:pStyle w:val="NoSpacing"/>
        <w:numPr>
          <w:ilvl w:val="0"/>
          <w:numId w:val="3"/>
        </w:numPr>
        <w:jc w:val="both"/>
      </w:pPr>
      <w:r>
        <w:t xml:space="preserve">The Share Worth for calculating Equity will be taken </w:t>
      </w:r>
      <w:r w:rsidRPr="00840E13">
        <w:t xml:space="preserve">at Hair Cut </w:t>
      </w:r>
      <w:r>
        <w:t xml:space="preserve">as </w:t>
      </w:r>
      <w:r w:rsidRPr="00840E13">
        <w:t xml:space="preserve">prescribed by the </w:t>
      </w:r>
      <w:r>
        <w:t>KSE.</w:t>
      </w:r>
    </w:p>
    <w:p w:rsidR="004B2024" w:rsidRDefault="004B2024" w:rsidP="00835483">
      <w:pPr>
        <w:pStyle w:val="NoSpacing"/>
        <w:ind w:left="720"/>
        <w:jc w:val="both"/>
      </w:pPr>
    </w:p>
    <w:p w:rsidR="004B2024" w:rsidRDefault="004B2024" w:rsidP="007C0B50">
      <w:pPr>
        <w:pStyle w:val="NoSpacing"/>
        <w:numPr>
          <w:ilvl w:val="0"/>
          <w:numId w:val="3"/>
        </w:numPr>
        <w:jc w:val="both"/>
      </w:pPr>
      <w:r>
        <w:t>Clients will not be allowed take fresh positions during the last week of the contract and will only be allowed to square the Open Positions.</w:t>
      </w:r>
    </w:p>
    <w:p w:rsidR="004B2024" w:rsidRDefault="004B2024" w:rsidP="007C0B50">
      <w:pPr>
        <w:pStyle w:val="NoSpacing"/>
        <w:jc w:val="both"/>
      </w:pPr>
    </w:p>
    <w:p w:rsidR="004B2024" w:rsidRDefault="004B2024" w:rsidP="00835483">
      <w:pPr>
        <w:pStyle w:val="NoSpacing"/>
        <w:numPr>
          <w:ilvl w:val="0"/>
          <w:numId w:val="3"/>
        </w:numPr>
        <w:jc w:val="both"/>
      </w:pPr>
      <w:r>
        <w:t xml:space="preserve">Short (Blank) Selling will only be allowed through </w:t>
      </w:r>
      <w:r w:rsidRPr="009C1CF9">
        <w:rPr>
          <w:b/>
        </w:rPr>
        <w:t>F-8</w:t>
      </w:r>
      <w:r>
        <w:t xml:space="preserve"> Window - specifically allocated for Short (Blank) Selling.   </w:t>
      </w:r>
    </w:p>
    <w:p w:rsidR="004B2024" w:rsidRDefault="004B2024" w:rsidP="00835483">
      <w:pPr>
        <w:pStyle w:val="NoSpacing"/>
        <w:ind w:left="720"/>
        <w:jc w:val="both"/>
      </w:pPr>
    </w:p>
    <w:p w:rsidR="004B2024" w:rsidRDefault="004B2024" w:rsidP="00835483">
      <w:pPr>
        <w:pStyle w:val="NoSpacing"/>
        <w:numPr>
          <w:ilvl w:val="0"/>
          <w:numId w:val="3"/>
        </w:numPr>
        <w:jc w:val="both"/>
      </w:pPr>
      <w:r w:rsidRPr="00835483">
        <w:t xml:space="preserve">The AKD Trade Commission </w:t>
      </w:r>
      <w:r>
        <w:t xml:space="preserve">will be charged </w:t>
      </w:r>
      <w:r w:rsidRPr="00835483">
        <w:t>upon selling of the Deliverable Future Contracts</w:t>
      </w:r>
      <w:r>
        <w:t xml:space="preserve"> and </w:t>
      </w:r>
      <w:r w:rsidRPr="00835483">
        <w:t xml:space="preserve">the </w:t>
      </w:r>
      <w:r>
        <w:t>Daily Roll Over</w:t>
      </w:r>
      <w:r w:rsidRPr="00835483">
        <w:t xml:space="preserve"> will be charged </w:t>
      </w:r>
      <w:r>
        <w:t xml:space="preserve">on all the outstanding open positions at the end of every day </w:t>
      </w:r>
      <w:r w:rsidRPr="00835483">
        <w:t xml:space="preserve">as per the below </w:t>
      </w:r>
      <w:r>
        <w:t>Commission S</w:t>
      </w:r>
      <w:r w:rsidRPr="00835483">
        <w:t>tructure:</w:t>
      </w:r>
    </w:p>
    <w:p w:rsidR="004B2024" w:rsidRDefault="004B2024" w:rsidP="00E90EEA">
      <w:pPr>
        <w:pStyle w:val="NoSpacing"/>
        <w:ind w:left="720"/>
        <w:jc w:val="both"/>
      </w:pPr>
    </w:p>
    <w:tbl>
      <w:tblPr>
        <w:tblW w:w="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903"/>
        <w:gridCol w:w="1903"/>
      </w:tblGrid>
      <w:tr w:rsidR="004B2024" w:rsidRPr="004F4706" w:rsidTr="007C0B50">
        <w:trPr>
          <w:trHeight w:val="79"/>
          <w:jc w:val="center"/>
        </w:trPr>
        <w:tc>
          <w:tcPr>
            <w:tcW w:w="2403" w:type="dxa"/>
            <w:tcBorders>
              <w:top w:val="thinThickSmallGap" w:sz="24" w:space="0" w:color="auto"/>
              <w:bottom w:val="thinThickSmallGap" w:sz="24" w:space="0" w:color="auto"/>
            </w:tcBorders>
          </w:tcPr>
          <w:p w:rsidR="004B2024" w:rsidRPr="004F4706" w:rsidRDefault="004B2024" w:rsidP="00835483">
            <w:pPr>
              <w:pStyle w:val="ListParagraph"/>
              <w:rPr>
                <w:b/>
                <w:sz w:val="24"/>
                <w:szCs w:val="24"/>
              </w:rPr>
            </w:pPr>
            <w:r w:rsidRPr="004F4706">
              <w:rPr>
                <w:b/>
                <w:sz w:val="24"/>
                <w:szCs w:val="24"/>
              </w:rPr>
              <w:t xml:space="preserve">Share Price </w:t>
            </w:r>
          </w:p>
        </w:tc>
        <w:tc>
          <w:tcPr>
            <w:tcW w:w="1903" w:type="dxa"/>
            <w:tcBorders>
              <w:top w:val="thinThickSmallGap" w:sz="24" w:space="0" w:color="auto"/>
              <w:bottom w:val="thinThickSmallGap" w:sz="24" w:space="0" w:color="auto"/>
            </w:tcBorders>
          </w:tcPr>
          <w:p w:rsidR="004B2024" w:rsidRPr="004F4706" w:rsidRDefault="004B2024" w:rsidP="00F744A8">
            <w:pPr>
              <w:jc w:val="both"/>
              <w:rPr>
                <w:b/>
                <w:sz w:val="24"/>
                <w:szCs w:val="24"/>
              </w:rPr>
            </w:pPr>
            <w:r w:rsidRPr="004F4706">
              <w:rPr>
                <w:b/>
                <w:sz w:val="24"/>
                <w:szCs w:val="24"/>
              </w:rPr>
              <w:t xml:space="preserve">     Commission</w:t>
            </w:r>
          </w:p>
        </w:tc>
        <w:tc>
          <w:tcPr>
            <w:tcW w:w="1903" w:type="dxa"/>
            <w:tcBorders>
              <w:top w:val="thinThickSmallGap" w:sz="24" w:space="0" w:color="auto"/>
              <w:bottom w:val="thinThickSmallGap" w:sz="24" w:space="0" w:color="auto"/>
            </w:tcBorders>
          </w:tcPr>
          <w:p w:rsidR="004B2024" w:rsidRPr="004F4706" w:rsidRDefault="004B2024" w:rsidP="00F744A8">
            <w:pPr>
              <w:rPr>
                <w:b/>
                <w:sz w:val="24"/>
                <w:szCs w:val="24"/>
              </w:rPr>
            </w:pPr>
            <w:r w:rsidRPr="004F4706">
              <w:rPr>
                <w:b/>
                <w:sz w:val="24"/>
                <w:szCs w:val="24"/>
              </w:rPr>
              <w:t xml:space="preserve">       Roll Over</w:t>
            </w:r>
          </w:p>
        </w:tc>
      </w:tr>
      <w:tr w:rsidR="004B2024" w:rsidRPr="004F4706" w:rsidTr="007C0B50">
        <w:trPr>
          <w:trHeight w:val="76"/>
          <w:jc w:val="center"/>
        </w:trPr>
        <w:tc>
          <w:tcPr>
            <w:tcW w:w="2403" w:type="dxa"/>
            <w:tcBorders>
              <w:top w:val="thinThickSmallGap" w:sz="24" w:space="0" w:color="auto"/>
              <w:bottom w:val="single" w:sz="2" w:space="0" w:color="auto"/>
            </w:tcBorders>
          </w:tcPr>
          <w:p w:rsidR="004B2024" w:rsidRPr="004F4706" w:rsidRDefault="004B2024" w:rsidP="00F744A8">
            <w:pPr>
              <w:rPr>
                <w:sz w:val="24"/>
                <w:szCs w:val="24"/>
              </w:rPr>
            </w:pPr>
            <w:r w:rsidRPr="004F4706">
              <w:rPr>
                <w:sz w:val="24"/>
                <w:szCs w:val="24"/>
              </w:rPr>
              <w:t xml:space="preserve">    Upto  4.99</w:t>
            </w:r>
          </w:p>
        </w:tc>
        <w:tc>
          <w:tcPr>
            <w:tcW w:w="1903" w:type="dxa"/>
            <w:tcBorders>
              <w:top w:val="thinThickSmallGap" w:sz="24" w:space="0" w:color="auto"/>
              <w:bottom w:val="single" w:sz="2" w:space="0" w:color="auto"/>
            </w:tcBorders>
          </w:tcPr>
          <w:p w:rsidR="004B2024" w:rsidRPr="004F4706" w:rsidRDefault="004B2024" w:rsidP="00835483">
            <w:pPr>
              <w:pStyle w:val="ListParagraph"/>
              <w:rPr>
                <w:sz w:val="24"/>
                <w:szCs w:val="24"/>
              </w:rPr>
            </w:pPr>
            <w:r w:rsidRPr="004F4706">
              <w:rPr>
                <w:sz w:val="24"/>
                <w:szCs w:val="24"/>
              </w:rPr>
              <w:t>0.03</w:t>
            </w:r>
          </w:p>
        </w:tc>
        <w:tc>
          <w:tcPr>
            <w:tcW w:w="1903" w:type="dxa"/>
            <w:tcBorders>
              <w:top w:val="thinThickSmallGap" w:sz="24" w:space="0" w:color="auto"/>
              <w:bottom w:val="single" w:sz="2" w:space="0" w:color="auto"/>
            </w:tcBorders>
          </w:tcPr>
          <w:p w:rsidR="004B2024" w:rsidRPr="004F4706" w:rsidRDefault="004B2024" w:rsidP="00F744A8">
            <w:pPr>
              <w:rPr>
                <w:sz w:val="24"/>
                <w:szCs w:val="24"/>
              </w:rPr>
            </w:pPr>
            <w:r w:rsidRPr="004F4706">
              <w:rPr>
                <w:sz w:val="24"/>
                <w:szCs w:val="24"/>
              </w:rPr>
              <w:t xml:space="preserve">           0.01</w:t>
            </w:r>
          </w:p>
        </w:tc>
      </w:tr>
      <w:tr w:rsidR="004B2024" w:rsidRPr="004F4706" w:rsidTr="007C0B50">
        <w:trPr>
          <w:trHeight w:val="67"/>
          <w:jc w:val="center"/>
        </w:trPr>
        <w:tc>
          <w:tcPr>
            <w:tcW w:w="2403" w:type="dxa"/>
            <w:tcBorders>
              <w:top w:val="single" w:sz="2" w:space="0" w:color="auto"/>
              <w:bottom w:val="single" w:sz="2" w:space="0" w:color="auto"/>
            </w:tcBorders>
          </w:tcPr>
          <w:p w:rsidR="004B2024" w:rsidRPr="004F4706" w:rsidRDefault="004B2024" w:rsidP="00F744A8">
            <w:pPr>
              <w:rPr>
                <w:sz w:val="24"/>
                <w:szCs w:val="24"/>
              </w:rPr>
            </w:pPr>
            <w:r w:rsidRPr="004F4706">
              <w:rPr>
                <w:sz w:val="24"/>
                <w:szCs w:val="24"/>
              </w:rPr>
              <w:t xml:space="preserve">     5.00 –  99.99</w:t>
            </w:r>
          </w:p>
        </w:tc>
        <w:tc>
          <w:tcPr>
            <w:tcW w:w="1903" w:type="dxa"/>
            <w:tcBorders>
              <w:top w:val="single" w:sz="2" w:space="0" w:color="auto"/>
              <w:bottom w:val="single" w:sz="2" w:space="0" w:color="auto"/>
            </w:tcBorders>
          </w:tcPr>
          <w:p w:rsidR="004B2024" w:rsidRPr="004F4706" w:rsidRDefault="004B2024" w:rsidP="00835483">
            <w:pPr>
              <w:pStyle w:val="ListParagraph"/>
              <w:rPr>
                <w:sz w:val="24"/>
                <w:szCs w:val="24"/>
              </w:rPr>
            </w:pPr>
            <w:r w:rsidRPr="004F4706">
              <w:rPr>
                <w:sz w:val="24"/>
                <w:szCs w:val="24"/>
              </w:rPr>
              <w:t>0.05</w:t>
            </w:r>
          </w:p>
        </w:tc>
        <w:tc>
          <w:tcPr>
            <w:tcW w:w="1903" w:type="dxa"/>
            <w:tcBorders>
              <w:top w:val="single" w:sz="2" w:space="0" w:color="auto"/>
              <w:bottom w:val="single" w:sz="2" w:space="0" w:color="auto"/>
            </w:tcBorders>
          </w:tcPr>
          <w:p w:rsidR="004B2024" w:rsidRPr="004F4706" w:rsidRDefault="004B2024" w:rsidP="00F744A8">
            <w:pPr>
              <w:rPr>
                <w:sz w:val="24"/>
                <w:szCs w:val="24"/>
              </w:rPr>
            </w:pPr>
            <w:r w:rsidRPr="004F4706">
              <w:rPr>
                <w:sz w:val="24"/>
                <w:szCs w:val="24"/>
              </w:rPr>
              <w:t xml:space="preserve">           0.01</w:t>
            </w:r>
          </w:p>
        </w:tc>
      </w:tr>
      <w:tr w:rsidR="004B2024" w:rsidRPr="004F4706" w:rsidTr="00B4593A">
        <w:trPr>
          <w:trHeight w:val="70"/>
          <w:jc w:val="center"/>
        </w:trPr>
        <w:tc>
          <w:tcPr>
            <w:tcW w:w="2403" w:type="dxa"/>
            <w:tcBorders>
              <w:bottom w:val="thinThickSmallGap" w:sz="24" w:space="0" w:color="auto"/>
            </w:tcBorders>
          </w:tcPr>
          <w:p w:rsidR="004B2024" w:rsidRPr="004F4706" w:rsidRDefault="004B2024" w:rsidP="00F744A8">
            <w:pPr>
              <w:rPr>
                <w:sz w:val="24"/>
                <w:szCs w:val="24"/>
              </w:rPr>
            </w:pPr>
            <w:r w:rsidRPr="004F4706">
              <w:rPr>
                <w:sz w:val="24"/>
                <w:szCs w:val="24"/>
              </w:rPr>
              <w:t xml:space="preserve">    100.00 and above</w:t>
            </w:r>
          </w:p>
        </w:tc>
        <w:tc>
          <w:tcPr>
            <w:tcW w:w="1903" w:type="dxa"/>
            <w:tcBorders>
              <w:bottom w:val="thinThickSmallGap" w:sz="24" w:space="0" w:color="auto"/>
            </w:tcBorders>
          </w:tcPr>
          <w:p w:rsidR="004B2024" w:rsidRPr="004F4706" w:rsidRDefault="004B2024" w:rsidP="00835483">
            <w:pPr>
              <w:pStyle w:val="ListParagraph"/>
              <w:rPr>
                <w:sz w:val="24"/>
                <w:szCs w:val="24"/>
              </w:rPr>
            </w:pPr>
            <w:r w:rsidRPr="004F4706">
              <w:rPr>
                <w:sz w:val="24"/>
                <w:szCs w:val="24"/>
              </w:rPr>
              <w:t>0.10</w:t>
            </w:r>
          </w:p>
        </w:tc>
        <w:tc>
          <w:tcPr>
            <w:tcW w:w="1903" w:type="dxa"/>
            <w:tcBorders>
              <w:bottom w:val="thinThickSmallGap" w:sz="24" w:space="0" w:color="auto"/>
            </w:tcBorders>
          </w:tcPr>
          <w:p w:rsidR="004B2024" w:rsidRPr="004F4706" w:rsidRDefault="004B2024" w:rsidP="00F744A8">
            <w:pPr>
              <w:rPr>
                <w:sz w:val="24"/>
                <w:szCs w:val="24"/>
              </w:rPr>
            </w:pPr>
            <w:r w:rsidRPr="004F4706">
              <w:rPr>
                <w:sz w:val="24"/>
                <w:szCs w:val="24"/>
              </w:rPr>
              <w:t xml:space="preserve">           0.02</w:t>
            </w:r>
          </w:p>
        </w:tc>
      </w:tr>
    </w:tbl>
    <w:p w:rsidR="004B2024" w:rsidRDefault="004B2024" w:rsidP="00E4576C">
      <w:pPr>
        <w:pStyle w:val="NoSpacing"/>
        <w:ind w:left="720"/>
        <w:jc w:val="both"/>
      </w:pPr>
    </w:p>
    <w:p w:rsidR="004B2024" w:rsidRDefault="004B2024" w:rsidP="002642B7">
      <w:pPr>
        <w:pStyle w:val="NoSpacing"/>
        <w:numPr>
          <w:ilvl w:val="0"/>
          <w:numId w:val="3"/>
        </w:numPr>
        <w:jc w:val="both"/>
      </w:pPr>
      <w:r>
        <w:t>All other Taxes and CDC Charges (only in case of delivery transaction) will remain applicable as per ready market transactions.</w:t>
      </w:r>
    </w:p>
    <w:p w:rsidR="004B2024" w:rsidRDefault="004B2024" w:rsidP="002642B7">
      <w:pPr>
        <w:pStyle w:val="NoSpacing"/>
        <w:ind w:left="720"/>
        <w:jc w:val="both"/>
      </w:pPr>
    </w:p>
    <w:p w:rsidR="00357F29" w:rsidRDefault="004B2024" w:rsidP="00357F29">
      <w:pPr>
        <w:pStyle w:val="NoSpacing"/>
        <w:numPr>
          <w:ilvl w:val="0"/>
          <w:numId w:val="3"/>
        </w:numPr>
        <w:jc w:val="both"/>
      </w:pPr>
      <w:r>
        <w:t>Settlement of DFC transactions will be done on daily basis and Mark to Market Profits/Losses, commissions and all other charges for the day will be adjusted in clients’ accounts accordingly.</w:t>
      </w:r>
    </w:p>
    <w:p w:rsidR="00357F29" w:rsidRDefault="00357F29" w:rsidP="00357F29">
      <w:pPr>
        <w:pStyle w:val="NoSpacing"/>
        <w:ind w:left="720"/>
        <w:jc w:val="both"/>
      </w:pPr>
    </w:p>
    <w:p w:rsidR="00D53467" w:rsidRDefault="00357F29" w:rsidP="00D53467">
      <w:pPr>
        <w:pStyle w:val="NoSpacing"/>
        <w:numPr>
          <w:ilvl w:val="0"/>
          <w:numId w:val="3"/>
        </w:numPr>
        <w:jc w:val="both"/>
      </w:pPr>
      <w:r>
        <w:t>No new LONG</w:t>
      </w:r>
      <w:r w:rsidR="002575C5">
        <w:t>/SHORT</w:t>
      </w:r>
      <w:r>
        <w:t xml:space="preserve"> position(s) will be allowed in the </w:t>
      </w:r>
      <w:r w:rsidR="002575C5">
        <w:t>outgoing</w:t>
      </w:r>
      <w:r>
        <w:t xml:space="preserve"> contract in the last week from Tuesday </w:t>
      </w:r>
      <w:r w:rsidR="002575C5">
        <w:t>onwards</w:t>
      </w:r>
      <w:r>
        <w:t>.</w:t>
      </w:r>
    </w:p>
    <w:p w:rsidR="00D53467" w:rsidRDefault="00D53467" w:rsidP="00D53467">
      <w:pPr>
        <w:pStyle w:val="NoSpacing"/>
      </w:pPr>
    </w:p>
    <w:p w:rsidR="00357F29" w:rsidRDefault="00D53467" w:rsidP="002642B7">
      <w:pPr>
        <w:pStyle w:val="NoSpacing"/>
        <w:numPr>
          <w:ilvl w:val="0"/>
          <w:numId w:val="3"/>
        </w:numPr>
        <w:jc w:val="both"/>
      </w:pPr>
      <w:r>
        <w:t xml:space="preserve">AKD reserves the right to </w:t>
      </w:r>
      <w:r w:rsidR="00357F29">
        <w:t>square / liquidate</w:t>
      </w:r>
      <w:r>
        <w:t xml:space="preserve"> any</w:t>
      </w:r>
      <w:r>
        <w:t xml:space="preserve"> </w:t>
      </w:r>
      <w:proofErr w:type="gramStart"/>
      <w:r>
        <w:t>Outstanding</w:t>
      </w:r>
      <w:proofErr w:type="gramEnd"/>
      <w:r>
        <w:t xml:space="preserve"> position</w:t>
      </w:r>
      <w:r>
        <w:t>(</w:t>
      </w:r>
      <w:r>
        <w:t>s</w:t>
      </w:r>
      <w:r>
        <w:t>)</w:t>
      </w:r>
      <w:r>
        <w:t xml:space="preserve"> </w:t>
      </w:r>
      <w:r>
        <w:t>anytime in the last week of</w:t>
      </w:r>
      <w:r>
        <w:t xml:space="preserve"> the outgoing contract</w:t>
      </w:r>
      <w:r>
        <w:t>, if sufficient Cash or Delivery against the open position is not available.</w:t>
      </w:r>
    </w:p>
    <w:p w:rsidR="004B2024" w:rsidRDefault="004B2024" w:rsidP="002642B7">
      <w:pPr>
        <w:pStyle w:val="NoSpacing"/>
        <w:ind w:left="720"/>
      </w:pPr>
    </w:p>
    <w:p w:rsidR="004B2024" w:rsidRPr="002642B7" w:rsidRDefault="004B2024" w:rsidP="002642B7">
      <w:pPr>
        <w:pStyle w:val="NoSpacing"/>
        <w:numPr>
          <w:ilvl w:val="0"/>
          <w:numId w:val="3"/>
        </w:numPr>
        <w:jc w:val="both"/>
      </w:pPr>
      <w:r>
        <w:rPr>
          <w:bCs/>
        </w:rPr>
        <w:t>If a client wishes to take/give delivery of the open p</w:t>
      </w:r>
      <w:r w:rsidRPr="002642B7">
        <w:rPr>
          <w:bCs/>
        </w:rPr>
        <w:t>osition</w:t>
      </w:r>
      <w:r>
        <w:rPr>
          <w:bCs/>
        </w:rPr>
        <w:t>s</w:t>
      </w:r>
      <w:r w:rsidRPr="002642B7">
        <w:rPr>
          <w:bCs/>
        </w:rPr>
        <w:t xml:space="preserve">, </w:t>
      </w:r>
      <w:r>
        <w:rPr>
          <w:bCs/>
        </w:rPr>
        <w:t>he/she must make available sufficient funds/deliveries in his/h</w:t>
      </w:r>
      <w:bookmarkStart w:id="0" w:name="_GoBack"/>
      <w:bookmarkEnd w:id="0"/>
      <w:r>
        <w:rPr>
          <w:bCs/>
        </w:rPr>
        <w:t xml:space="preserve">er AKD Trade account on </w:t>
      </w:r>
      <w:r w:rsidRPr="002642B7">
        <w:rPr>
          <w:bCs/>
        </w:rPr>
        <w:t>last day of th</w:t>
      </w:r>
      <w:r>
        <w:rPr>
          <w:bCs/>
        </w:rPr>
        <w:t>e contract as delivery will automatically be taken/given, if and only if, there are sufficient funds/deliveries available in client’s AKD Trade account.</w:t>
      </w:r>
    </w:p>
    <w:p w:rsidR="004B2024" w:rsidRPr="002642B7" w:rsidRDefault="004B2024" w:rsidP="002642B7">
      <w:pPr>
        <w:pStyle w:val="NoSpacing"/>
        <w:ind w:left="720"/>
        <w:jc w:val="both"/>
      </w:pPr>
    </w:p>
    <w:p w:rsidR="004B2024" w:rsidRDefault="004B2024" w:rsidP="002642B7">
      <w:pPr>
        <w:pStyle w:val="NoSpacing"/>
        <w:numPr>
          <w:ilvl w:val="0"/>
          <w:numId w:val="3"/>
        </w:numPr>
        <w:jc w:val="both"/>
      </w:pPr>
      <w:r>
        <w:lastRenderedPageBreak/>
        <w:t>If the funds/deliveries available in the respective AKD Trade account are not sufficient enough to take/give the delivery of all the contracts of the specific month then all the outstanding positions of that particular month will be squared. In this case, client will have the option to take fresh positions in next month’s contracts.</w:t>
      </w:r>
    </w:p>
    <w:p w:rsidR="004B2024" w:rsidRPr="002642B7" w:rsidRDefault="004B2024" w:rsidP="00A5061F">
      <w:pPr>
        <w:pStyle w:val="NoSpacing"/>
        <w:ind w:left="720"/>
        <w:jc w:val="both"/>
      </w:pPr>
    </w:p>
    <w:p w:rsidR="004B2024" w:rsidRPr="00423180" w:rsidRDefault="004B2024" w:rsidP="00FF30DD">
      <w:pPr>
        <w:pStyle w:val="NoSpacing"/>
        <w:numPr>
          <w:ilvl w:val="0"/>
          <w:numId w:val="3"/>
        </w:numPr>
        <w:jc w:val="both"/>
        <w:rPr>
          <w:vanish/>
          <w:specVanish/>
        </w:rPr>
      </w:pPr>
      <w:r>
        <w:t>Client will be required to accept all the terms &amp; conditions before starting trades in DFC.</w:t>
      </w:r>
    </w:p>
    <w:p w:rsidR="004B2024" w:rsidRPr="00FF30DD" w:rsidRDefault="004B2024" w:rsidP="00F604BF">
      <w:r>
        <w:t xml:space="preserve"> </w:t>
      </w:r>
    </w:p>
    <w:sectPr w:rsidR="004B2024" w:rsidRPr="00FF30DD" w:rsidSect="00E90EE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CC0"/>
    <w:multiLevelType w:val="hybridMultilevel"/>
    <w:tmpl w:val="588E9C80"/>
    <w:lvl w:ilvl="0" w:tplc="B0B231F4">
      <w:start w:val="1"/>
      <w:numFmt w:val="lowerRoman"/>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2058792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206C0A81"/>
    <w:multiLevelType w:val="hybridMultilevel"/>
    <w:tmpl w:val="B524A90E"/>
    <w:lvl w:ilvl="0" w:tplc="162CEA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4D6F6F12"/>
    <w:multiLevelType w:val="hybridMultilevel"/>
    <w:tmpl w:val="C5169538"/>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5EF406E8"/>
    <w:multiLevelType w:val="hybridMultilevel"/>
    <w:tmpl w:val="73EE0C1E"/>
    <w:lvl w:ilvl="0" w:tplc="B0B231F4">
      <w:start w:val="1"/>
      <w:numFmt w:val="lowerRoman"/>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E13EF3"/>
    <w:multiLevelType w:val="hybridMultilevel"/>
    <w:tmpl w:val="6B0402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41"/>
    <w:rsid w:val="0000531A"/>
    <w:rsid w:val="00030701"/>
    <w:rsid w:val="00061C5F"/>
    <w:rsid w:val="000D57E2"/>
    <w:rsid w:val="00111A4E"/>
    <w:rsid w:val="00125378"/>
    <w:rsid w:val="001930FC"/>
    <w:rsid w:val="001E2A2E"/>
    <w:rsid w:val="002575C5"/>
    <w:rsid w:val="002642B7"/>
    <w:rsid w:val="00357F29"/>
    <w:rsid w:val="00393C65"/>
    <w:rsid w:val="00423180"/>
    <w:rsid w:val="004B2024"/>
    <w:rsid w:val="004F4706"/>
    <w:rsid w:val="00566220"/>
    <w:rsid w:val="005755BA"/>
    <w:rsid w:val="005A5E52"/>
    <w:rsid w:val="005C349A"/>
    <w:rsid w:val="005E58FA"/>
    <w:rsid w:val="00672B6F"/>
    <w:rsid w:val="006D5300"/>
    <w:rsid w:val="006F2162"/>
    <w:rsid w:val="00782DB2"/>
    <w:rsid w:val="007A6BC4"/>
    <w:rsid w:val="007C0B50"/>
    <w:rsid w:val="00835483"/>
    <w:rsid w:val="00840E13"/>
    <w:rsid w:val="008A7437"/>
    <w:rsid w:val="008B725C"/>
    <w:rsid w:val="009032F6"/>
    <w:rsid w:val="00935C9A"/>
    <w:rsid w:val="00941724"/>
    <w:rsid w:val="009B29F8"/>
    <w:rsid w:val="009C1CF9"/>
    <w:rsid w:val="00A26C31"/>
    <w:rsid w:val="00A5061F"/>
    <w:rsid w:val="00AB47D4"/>
    <w:rsid w:val="00AF1DC7"/>
    <w:rsid w:val="00B01841"/>
    <w:rsid w:val="00B4593A"/>
    <w:rsid w:val="00C822D9"/>
    <w:rsid w:val="00CB2F10"/>
    <w:rsid w:val="00CF51E3"/>
    <w:rsid w:val="00D53467"/>
    <w:rsid w:val="00E4576C"/>
    <w:rsid w:val="00E90EEA"/>
    <w:rsid w:val="00EA6D2F"/>
    <w:rsid w:val="00ED06E9"/>
    <w:rsid w:val="00ED265F"/>
    <w:rsid w:val="00F36995"/>
    <w:rsid w:val="00F40C78"/>
    <w:rsid w:val="00F604BF"/>
    <w:rsid w:val="00F744A8"/>
    <w:rsid w:val="00F8100B"/>
    <w:rsid w:val="00FF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C7"/>
    <w:pPr>
      <w:spacing w:after="200" w:line="276" w:lineRule="auto"/>
    </w:pPr>
    <w:rPr>
      <w:sz w:val="22"/>
      <w:szCs w:val="22"/>
    </w:rPr>
  </w:style>
  <w:style w:type="paragraph" w:styleId="Heading1">
    <w:name w:val="heading 1"/>
    <w:basedOn w:val="Normal"/>
    <w:next w:val="Normal"/>
    <w:link w:val="Heading1Char"/>
    <w:uiPriority w:val="9"/>
    <w:qFormat/>
    <w:rsid w:val="00FF30DD"/>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F30DD"/>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F30DD"/>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F30DD"/>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F30DD"/>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F30DD"/>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F30DD"/>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F30DD"/>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F30DD"/>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30DD"/>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locked/>
    <w:rsid w:val="00FF30DD"/>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FF30DD"/>
    <w:rPr>
      <w:rFonts w:ascii="Cambria" w:hAnsi="Cambria" w:cs="Times New Roman"/>
      <w:b/>
      <w:bCs/>
      <w:color w:val="4F81BD"/>
    </w:rPr>
  </w:style>
  <w:style w:type="character" w:customStyle="1" w:styleId="Heading4Char">
    <w:name w:val="Heading 4 Char"/>
    <w:basedOn w:val="DefaultParagraphFont"/>
    <w:link w:val="Heading4"/>
    <w:uiPriority w:val="9"/>
    <w:semiHidden/>
    <w:locked/>
    <w:rsid w:val="00FF30DD"/>
    <w:rPr>
      <w:rFonts w:ascii="Cambria" w:hAnsi="Cambria" w:cs="Times New Roman"/>
      <w:b/>
      <w:bCs/>
      <w:i/>
      <w:iCs/>
      <w:color w:val="4F81BD"/>
    </w:rPr>
  </w:style>
  <w:style w:type="character" w:customStyle="1" w:styleId="Heading5Char">
    <w:name w:val="Heading 5 Char"/>
    <w:basedOn w:val="DefaultParagraphFont"/>
    <w:link w:val="Heading5"/>
    <w:uiPriority w:val="9"/>
    <w:semiHidden/>
    <w:locked/>
    <w:rsid w:val="00FF30DD"/>
    <w:rPr>
      <w:rFonts w:ascii="Cambria" w:hAnsi="Cambria" w:cs="Times New Roman"/>
      <w:color w:val="243F60"/>
    </w:rPr>
  </w:style>
  <w:style w:type="character" w:customStyle="1" w:styleId="Heading6Char">
    <w:name w:val="Heading 6 Char"/>
    <w:basedOn w:val="DefaultParagraphFont"/>
    <w:link w:val="Heading6"/>
    <w:uiPriority w:val="9"/>
    <w:semiHidden/>
    <w:locked/>
    <w:rsid w:val="00FF30DD"/>
    <w:rPr>
      <w:rFonts w:ascii="Cambria" w:hAnsi="Cambria" w:cs="Times New Roman"/>
      <w:i/>
      <w:iCs/>
      <w:color w:val="243F60"/>
    </w:rPr>
  </w:style>
  <w:style w:type="character" w:customStyle="1" w:styleId="Heading7Char">
    <w:name w:val="Heading 7 Char"/>
    <w:basedOn w:val="DefaultParagraphFont"/>
    <w:link w:val="Heading7"/>
    <w:uiPriority w:val="9"/>
    <w:semiHidden/>
    <w:locked/>
    <w:rsid w:val="00FF30DD"/>
    <w:rPr>
      <w:rFonts w:ascii="Cambria" w:hAnsi="Cambria" w:cs="Times New Roman"/>
      <w:i/>
      <w:iCs/>
      <w:color w:val="404040"/>
    </w:rPr>
  </w:style>
  <w:style w:type="character" w:customStyle="1" w:styleId="Heading8Char">
    <w:name w:val="Heading 8 Char"/>
    <w:basedOn w:val="DefaultParagraphFont"/>
    <w:link w:val="Heading8"/>
    <w:uiPriority w:val="9"/>
    <w:semiHidden/>
    <w:locked/>
    <w:rsid w:val="00FF30DD"/>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FF30DD"/>
    <w:rPr>
      <w:rFonts w:ascii="Cambria" w:hAnsi="Cambria" w:cs="Times New Roman"/>
      <w:i/>
      <w:iCs/>
      <w:color w:val="404040"/>
      <w:sz w:val="20"/>
      <w:szCs w:val="20"/>
    </w:rPr>
  </w:style>
  <w:style w:type="paragraph" w:styleId="ListParagraph">
    <w:name w:val="List Paragraph"/>
    <w:basedOn w:val="Normal"/>
    <w:uiPriority w:val="34"/>
    <w:qFormat/>
    <w:rsid w:val="00B01841"/>
    <w:pPr>
      <w:ind w:left="720"/>
      <w:contextualSpacing/>
    </w:pPr>
  </w:style>
  <w:style w:type="paragraph" w:styleId="NoSpacing">
    <w:name w:val="No Spacing"/>
    <w:uiPriority w:val="1"/>
    <w:qFormat/>
    <w:rsid w:val="00AB47D4"/>
    <w:rPr>
      <w:sz w:val="22"/>
      <w:szCs w:val="22"/>
    </w:rPr>
  </w:style>
  <w:style w:type="table" w:styleId="TableGrid">
    <w:name w:val="Table Grid"/>
    <w:basedOn w:val="TableNormal"/>
    <w:uiPriority w:val="59"/>
    <w:rsid w:val="008354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C7"/>
    <w:pPr>
      <w:spacing w:after="200" w:line="276" w:lineRule="auto"/>
    </w:pPr>
    <w:rPr>
      <w:sz w:val="22"/>
      <w:szCs w:val="22"/>
    </w:rPr>
  </w:style>
  <w:style w:type="paragraph" w:styleId="Heading1">
    <w:name w:val="heading 1"/>
    <w:basedOn w:val="Normal"/>
    <w:next w:val="Normal"/>
    <w:link w:val="Heading1Char"/>
    <w:uiPriority w:val="9"/>
    <w:qFormat/>
    <w:rsid w:val="00FF30DD"/>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F30DD"/>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F30DD"/>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F30DD"/>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F30DD"/>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F30DD"/>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F30DD"/>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F30DD"/>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F30DD"/>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30DD"/>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locked/>
    <w:rsid w:val="00FF30DD"/>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FF30DD"/>
    <w:rPr>
      <w:rFonts w:ascii="Cambria" w:hAnsi="Cambria" w:cs="Times New Roman"/>
      <w:b/>
      <w:bCs/>
      <w:color w:val="4F81BD"/>
    </w:rPr>
  </w:style>
  <w:style w:type="character" w:customStyle="1" w:styleId="Heading4Char">
    <w:name w:val="Heading 4 Char"/>
    <w:basedOn w:val="DefaultParagraphFont"/>
    <w:link w:val="Heading4"/>
    <w:uiPriority w:val="9"/>
    <w:semiHidden/>
    <w:locked/>
    <w:rsid w:val="00FF30DD"/>
    <w:rPr>
      <w:rFonts w:ascii="Cambria" w:hAnsi="Cambria" w:cs="Times New Roman"/>
      <w:b/>
      <w:bCs/>
      <w:i/>
      <w:iCs/>
      <w:color w:val="4F81BD"/>
    </w:rPr>
  </w:style>
  <w:style w:type="character" w:customStyle="1" w:styleId="Heading5Char">
    <w:name w:val="Heading 5 Char"/>
    <w:basedOn w:val="DefaultParagraphFont"/>
    <w:link w:val="Heading5"/>
    <w:uiPriority w:val="9"/>
    <w:semiHidden/>
    <w:locked/>
    <w:rsid w:val="00FF30DD"/>
    <w:rPr>
      <w:rFonts w:ascii="Cambria" w:hAnsi="Cambria" w:cs="Times New Roman"/>
      <w:color w:val="243F60"/>
    </w:rPr>
  </w:style>
  <w:style w:type="character" w:customStyle="1" w:styleId="Heading6Char">
    <w:name w:val="Heading 6 Char"/>
    <w:basedOn w:val="DefaultParagraphFont"/>
    <w:link w:val="Heading6"/>
    <w:uiPriority w:val="9"/>
    <w:semiHidden/>
    <w:locked/>
    <w:rsid w:val="00FF30DD"/>
    <w:rPr>
      <w:rFonts w:ascii="Cambria" w:hAnsi="Cambria" w:cs="Times New Roman"/>
      <w:i/>
      <w:iCs/>
      <w:color w:val="243F60"/>
    </w:rPr>
  </w:style>
  <w:style w:type="character" w:customStyle="1" w:styleId="Heading7Char">
    <w:name w:val="Heading 7 Char"/>
    <w:basedOn w:val="DefaultParagraphFont"/>
    <w:link w:val="Heading7"/>
    <w:uiPriority w:val="9"/>
    <w:semiHidden/>
    <w:locked/>
    <w:rsid w:val="00FF30DD"/>
    <w:rPr>
      <w:rFonts w:ascii="Cambria" w:hAnsi="Cambria" w:cs="Times New Roman"/>
      <w:i/>
      <w:iCs/>
      <w:color w:val="404040"/>
    </w:rPr>
  </w:style>
  <w:style w:type="character" w:customStyle="1" w:styleId="Heading8Char">
    <w:name w:val="Heading 8 Char"/>
    <w:basedOn w:val="DefaultParagraphFont"/>
    <w:link w:val="Heading8"/>
    <w:uiPriority w:val="9"/>
    <w:semiHidden/>
    <w:locked/>
    <w:rsid w:val="00FF30DD"/>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FF30DD"/>
    <w:rPr>
      <w:rFonts w:ascii="Cambria" w:hAnsi="Cambria" w:cs="Times New Roman"/>
      <w:i/>
      <w:iCs/>
      <w:color w:val="404040"/>
      <w:sz w:val="20"/>
      <w:szCs w:val="20"/>
    </w:rPr>
  </w:style>
  <w:style w:type="paragraph" w:styleId="ListParagraph">
    <w:name w:val="List Paragraph"/>
    <w:basedOn w:val="Normal"/>
    <w:uiPriority w:val="34"/>
    <w:qFormat/>
    <w:rsid w:val="00B01841"/>
    <w:pPr>
      <w:ind w:left="720"/>
      <w:contextualSpacing/>
    </w:pPr>
  </w:style>
  <w:style w:type="paragraph" w:styleId="NoSpacing">
    <w:name w:val="No Spacing"/>
    <w:uiPriority w:val="1"/>
    <w:qFormat/>
    <w:rsid w:val="00AB47D4"/>
    <w:rPr>
      <w:sz w:val="22"/>
      <w:szCs w:val="22"/>
    </w:rPr>
  </w:style>
  <w:style w:type="table" w:styleId="TableGrid">
    <w:name w:val="Table Grid"/>
    <w:basedOn w:val="TableNormal"/>
    <w:uiPriority w:val="59"/>
    <w:rsid w:val="008354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 Aslam</dc:creator>
  <cp:lastModifiedBy>Muhammad Affan Ali</cp:lastModifiedBy>
  <cp:revision>2</cp:revision>
  <cp:lastPrinted>2016-04-28T13:09:00Z</cp:lastPrinted>
  <dcterms:created xsi:type="dcterms:W3CDTF">2016-04-28T13:30:00Z</dcterms:created>
  <dcterms:modified xsi:type="dcterms:W3CDTF">2016-04-28T13:30:00Z</dcterms:modified>
</cp:coreProperties>
</file>